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C" w:rsidRPr="00774A1A" w:rsidRDefault="0084429C" w:rsidP="0084429C">
      <w:pPr>
        <w:keepNext/>
        <w:rPr>
          <w:b/>
        </w:rPr>
      </w:pPr>
    </w:p>
    <w:p w:rsidR="0084429C" w:rsidRPr="00774A1A" w:rsidRDefault="0084429C" w:rsidP="0084429C">
      <w:pPr>
        <w:rPr>
          <w:sz w:val="20"/>
        </w:rPr>
      </w:pPr>
      <w:r w:rsidRPr="00774A1A">
        <w:rPr>
          <w:sz w:val="20"/>
        </w:rPr>
        <w:t xml:space="preserve">Active substance source = </w:t>
      </w:r>
    </w:p>
    <w:tbl>
      <w:tblPr>
        <w:tblW w:w="1540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992"/>
        <w:gridCol w:w="709"/>
        <w:gridCol w:w="1985"/>
        <w:gridCol w:w="992"/>
        <w:gridCol w:w="992"/>
        <w:gridCol w:w="709"/>
        <w:gridCol w:w="2410"/>
        <w:gridCol w:w="1701"/>
        <w:gridCol w:w="567"/>
        <w:gridCol w:w="1134"/>
        <w:gridCol w:w="1984"/>
      </w:tblGrid>
      <w:tr w:rsidR="0084429C" w:rsidRPr="00774A1A" w:rsidTr="00FA0248">
        <w:trPr>
          <w:cantSplit/>
          <w:trHeight w:val="793"/>
          <w:tblHeader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requirement</w:t>
            </w:r>
            <w:r w:rsidRPr="00774A1A">
              <w:rPr>
                <w:b/>
                <w:sz w:val="20"/>
              </w:rPr>
              <w:t xml:space="preserve"> point /  reference number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774A1A">
              <w:rPr>
                <w:b/>
                <w:sz w:val="20"/>
              </w:rPr>
              <w:t xml:space="preserve">tudy or </w:t>
            </w:r>
            <w:r>
              <w:rPr>
                <w:b/>
                <w:sz w:val="20"/>
              </w:rPr>
              <w:t>test</w:t>
            </w:r>
            <w:r w:rsidRPr="00774A1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considered as relied upon and for which data protection has been claimed</w:t>
            </w:r>
          </w:p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 w:rsidRPr="00774A1A">
              <w:rPr>
                <w:b/>
                <w:sz w:val="20"/>
              </w:rPr>
              <w:t>Title of alternative study or case referenced /  submitted by applicant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  <w:vAlign w:val="center"/>
          </w:tcPr>
          <w:p w:rsidR="0084429C" w:rsidRPr="00F056E7" w:rsidRDefault="0084429C" w:rsidP="00FA0248">
            <w:pPr>
              <w:spacing w:before="60" w:after="60"/>
              <w:jc w:val="center"/>
              <w:rPr>
                <w:b/>
                <w:sz w:val="20"/>
                <w:vertAlign w:val="superscript"/>
              </w:rPr>
            </w:pPr>
            <w:r w:rsidRPr="00774A1A">
              <w:rPr>
                <w:b/>
                <w:sz w:val="20"/>
              </w:rPr>
              <w:t>Reason for equivalence / justification for non-provision</w:t>
            </w:r>
            <w:r>
              <w:rPr>
                <w:b/>
                <w:sz w:val="20"/>
                <w:vertAlign w:val="superscript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Cat. 4 data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4429C" w:rsidRDefault="0084429C" w:rsidP="00FA0248">
            <w:pPr>
              <w:spacing w:before="60" w:after="60"/>
              <w:ind w:left="-28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R</w:t>
            </w:r>
            <w:r w:rsidRPr="00774A1A">
              <w:rPr>
                <w:b/>
                <w:sz w:val="20"/>
              </w:rPr>
              <w:t>MS Opinion</w:t>
            </w:r>
            <w:r>
              <w:rPr>
                <w:b/>
                <w:sz w:val="20"/>
                <w:vertAlign w:val="superscript"/>
              </w:rPr>
              <w:t>4,6,7</w:t>
            </w:r>
          </w:p>
          <w:p w:rsidR="0084429C" w:rsidRPr="007E3808" w:rsidRDefault="0084429C" w:rsidP="0084429C">
            <w:pPr>
              <w:pStyle w:val="ListParagraph"/>
              <w:numPr>
                <w:ilvl w:val="0"/>
                <w:numId w:val="2"/>
              </w:numPr>
              <w:spacing w:before="60" w:after="60"/>
              <w:ind w:left="397"/>
              <w:jc w:val="left"/>
              <w:rPr>
                <w:b/>
                <w:sz w:val="20"/>
              </w:rPr>
            </w:pPr>
            <w:r w:rsidRPr="007E3808">
              <w:rPr>
                <w:b/>
                <w:sz w:val="18"/>
              </w:rPr>
              <w:t>GLP-compliant?</w:t>
            </w:r>
          </w:p>
          <w:p w:rsidR="0084429C" w:rsidRPr="00252B47" w:rsidRDefault="0084429C" w:rsidP="0084429C">
            <w:pPr>
              <w:pStyle w:val="ListParagraph"/>
              <w:numPr>
                <w:ilvl w:val="0"/>
                <w:numId w:val="2"/>
              </w:numPr>
              <w:spacing w:before="60" w:after="60"/>
              <w:ind w:left="3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Guideline-compliant?</w:t>
            </w:r>
          </w:p>
          <w:p w:rsidR="0084429C" w:rsidRPr="007E3808" w:rsidRDefault="0084429C" w:rsidP="0084429C">
            <w:pPr>
              <w:pStyle w:val="ListParagraph"/>
              <w:numPr>
                <w:ilvl w:val="0"/>
                <w:numId w:val="2"/>
              </w:numPr>
              <w:spacing w:before="60" w:after="60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sz w:val="18"/>
              </w:rPr>
              <w:t>Equivalent endpoint?</w:t>
            </w:r>
          </w:p>
        </w:tc>
      </w:tr>
      <w:tr w:rsidR="0084429C" w:rsidRPr="00774A1A" w:rsidTr="00FA0248">
        <w:trPr>
          <w:cantSplit/>
          <w:trHeight w:val="577"/>
          <w:tblHeader/>
        </w:trPr>
        <w:tc>
          <w:tcPr>
            <w:tcW w:w="12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Author(s)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 w:rsidRPr="00774A1A">
              <w:rPr>
                <w:b/>
                <w:sz w:val="20"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Title</w:t>
            </w:r>
          </w:p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Company Report No.</w:t>
            </w:r>
          </w:p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Source (where different from</w:t>
            </w:r>
            <w:r>
              <w:rPr>
                <w:b/>
                <w:sz w:val="18"/>
              </w:rPr>
              <w:t xml:space="preserve"> </w:t>
            </w:r>
            <w:r w:rsidRPr="005839FD">
              <w:rPr>
                <w:b/>
                <w:sz w:val="18"/>
              </w:rPr>
              <w:t>company)</w:t>
            </w:r>
          </w:p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GLP or GEP status</w:t>
            </w:r>
          </w:p>
          <w:p w:rsidR="0084429C" w:rsidRPr="00774A1A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20"/>
              </w:rPr>
            </w:pPr>
            <w:r w:rsidRPr="005839FD">
              <w:rPr>
                <w:b/>
                <w:sz w:val="18"/>
              </w:rPr>
              <w:t>Published or 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84429C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Vertebrate study</w:t>
            </w:r>
          </w:p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Author(s)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 w:rsidRPr="00774A1A">
              <w:rPr>
                <w:b/>
                <w:sz w:val="20"/>
              </w:rPr>
              <w:t>Year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Title</w:t>
            </w:r>
          </w:p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Company Report No.</w:t>
            </w:r>
          </w:p>
          <w:p w:rsidR="0084429C" w:rsidRPr="005839FD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Source (where different from</w:t>
            </w:r>
            <w:r>
              <w:rPr>
                <w:b/>
                <w:sz w:val="18"/>
              </w:rPr>
              <w:t xml:space="preserve"> </w:t>
            </w:r>
            <w:r w:rsidRPr="005839FD">
              <w:rPr>
                <w:b/>
                <w:sz w:val="18"/>
              </w:rPr>
              <w:t>company)</w:t>
            </w:r>
          </w:p>
          <w:p w:rsidR="0084429C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GLP or GEP status</w:t>
            </w:r>
          </w:p>
          <w:p w:rsidR="0084429C" w:rsidRPr="00252B47" w:rsidRDefault="0084429C" w:rsidP="00FA0248">
            <w:pPr>
              <w:autoSpaceDE w:val="0"/>
              <w:autoSpaceDN w:val="0"/>
              <w:adjustRightInd w:val="0"/>
              <w:spacing w:after="0"/>
              <w:ind w:left="72"/>
              <w:jc w:val="left"/>
              <w:rPr>
                <w:b/>
                <w:sz w:val="18"/>
              </w:rPr>
            </w:pPr>
            <w:r w:rsidRPr="005839FD">
              <w:rPr>
                <w:b/>
                <w:sz w:val="18"/>
              </w:rPr>
              <w:t>Published or not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:rsidR="0084429C" w:rsidRPr="00774A1A" w:rsidRDefault="0084429C" w:rsidP="00FA024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Submission deadline</w:t>
            </w:r>
          </w:p>
        </w:tc>
        <w:tc>
          <w:tcPr>
            <w:tcW w:w="1984" w:type="dxa"/>
            <w:vMerge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84429C" w:rsidRDefault="0084429C" w:rsidP="00FA0248">
            <w:pPr>
              <w:jc w:val="center"/>
              <w:rPr>
                <w:b/>
                <w:sz w:val="20"/>
              </w:rPr>
            </w:pPr>
          </w:p>
        </w:tc>
      </w:tr>
      <w:tr w:rsidR="0084429C" w:rsidRPr="00F266E0" w:rsidTr="00FA0248">
        <w:trPr>
          <w:cantSplit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</w:tcPr>
          <w:p w:rsidR="0084429C" w:rsidRPr="00F266E0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84429C" w:rsidRPr="00F266E0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29C" w:rsidRDefault="0084429C" w:rsidP="00FA0248">
            <w:pPr>
              <w:pStyle w:val="Reference"/>
              <w:jc w:val="left"/>
              <w:rPr>
                <w:i/>
                <w:lang w:val="en-GB"/>
              </w:rPr>
            </w:pPr>
            <w:r w:rsidRPr="007E3808">
              <w:rPr>
                <w:i/>
                <w:lang w:val="en-GB"/>
              </w:rPr>
              <w:t>Acceptable/Not acceptable</w:t>
            </w:r>
          </w:p>
          <w:p w:rsidR="0084429C" w:rsidRDefault="0084429C" w:rsidP="0084429C">
            <w:pPr>
              <w:pStyle w:val="Reference"/>
              <w:numPr>
                <w:ilvl w:val="0"/>
                <w:numId w:val="3"/>
              </w:numPr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Y/N</w:t>
            </w:r>
          </w:p>
          <w:p w:rsidR="0084429C" w:rsidRDefault="0084429C" w:rsidP="0084429C">
            <w:pPr>
              <w:pStyle w:val="Reference"/>
              <w:numPr>
                <w:ilvl w:val="0"/>
                <w:numId w:val="3"/>
              </w:numPr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Y/N</w:t>
            </w:r>
          </w:p>
          <w:p w:rsidR="0084429C" w:rsidRPr="007E3808" w:rsidRDefault="0084429C" w:rsidP="0084429C">
            <w:pPr>
              <w:pStyle w:val="Reference"/>
              <w:numPr>
                <w:ilvl w:val="0"/>
                <w:numId w:val="3"/>
              </w:numPr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Y/N</w:t>
            </w:r>
          </w:p>
        </w:tc>
      </w:tr>
      <w:tr w:rsidR="0084429C" w:rsidRPr="00F266E0" w:rsidTr="00FA0248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4429C" w:rsidRPr="00774A1A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84429C" w:rsidRPr="00F266E0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4429C" w:rsidRPr="00F266E0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429C" w:rsidRPr="00F266E0" w:rsidRDefault="0084429C" w:rsidP="00FA0248">
            <w:pPr>
              <w:pStyle w:val="Reference"/>
              <w:jc w:val="left"/>
              <w:rPr>
                <w:lang w:val="en-GB"/>
              </w:rPr>
            </w:pPr>
          </w:p>
        </w:tc>
      </w:tr>
    </w:tbl>
    <w:p w:rsidR="0084429C" w:rsidRDefault="0084429C" w:rsidP="0084429C">
      <w:pPr>
        <w:keepNext/>
        <w:rPr>
          <w:b/>
        </w:rPr>
      </w:pPr>
    </w:p>
    <w:p w:rsidR="0084429C" w:rsidRPr="00252B47" w:rsidRDefault="0084429C" w:rsidP="0084429C">
      <w:pPr>
        <w:rPr>
          <w:rFonts w:ascii="Arial" w:hAnsi="Arial" w:cs="Arial"/>
          <w:b/>
          <w:szCs w:val="24"/>
        </w:rPr>
      </w:pPr>
      <w:r w:rsidRPr="00252B47">
        <w:rPr>
          <w:rFonts w:ascii="Arial" w:hAnsi="Arial" w:cs="Arial"/>
          <w:b/>
          <w:szCs w:val="24"/>
        </w:rPr>
        <w:t>Notes on completion of table</w:t>
      </w:r>
    </w:p>
    <w:p w:rsidR="0084429C" w:rsidRDefault="0084429C" w:rsidP="0084429C">
      <w:pPr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Strike out in case of data matching for a new active substance.</w:t>
      </w:r>
    </w:p>
    <w:p w:rsidR="0084429C" w:rsidRDefault="0084429C" w:rsidP="0084429C">
      <w:pPr>
        <w:spacing w:after="0"/>
        <w:ind w:left="360"/>
        <w:rPr>
          <w:sz w:val="20"/>
        </w:rPr>
      </w:pPr>
    </w:p>
    <w:p w:rsidR="0084429C" w:rsidRDefault="0084429C" w:rsidP="0084429C">
      <w:pPr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Where relevant, please include the variant name of the active substance.</w:t>
      </w:r>
    </w:p>
    <w:p w:rsidR="0084429C" w:rsidRDefault="0084429C" w:rsidP="0084429C">
      <w:pPr>
        <w:spacing w:after="0"/>
        <w:ind w:left="360"/>
        <w:rPr>
          <w:sz w:val="20"/>
        </w:rPr>
      </w:pPr>
    </w:p>
    <w:p w:rsidR="0084429C" w:rsidRPr="00F056E7" w:rsidRDefault="0084429C" w:rsidP="0084429C">
      <w:pPr>
        <w:numPr>
          <w:ilvl w:val="0"/>
          <w:numId w:val="1"/>
        </w:numPr>
        <w:spacing w:after="0"/>
        <w:rPr>
          <w:sz w:val="20"/>
        </w:rPr>
      </w:pPr>
      <w:r w:rsidRPr="00F056E7">
        <w:rPr>
          <w:sz w:val="20"/>
        </w:rPr>
        <w:lastRenderedPageBreak/>
        <w:t xml:space="preserve">The list of studies according to Article 60(1) of the Regulation for which data protection </w:t>
      </w:r>
      <w:r>
        <w:rPr>
          <w:sz w:val="20"/>
        </w:rPr>
        <w:t xml:space="preserve">is sought </w:t>
      </w:r>
      <w:r w:rsidRPr="00F056E7">
        <w:rPr>
          <w:sz w:val="20"/>
        </w:rPr>
        <w:t xml:space="preserve">must be </w:t>
      </w:r>
      <w:r>
        <w:rPr>
          <w:sz w:val="20"/>
        </w:rPr>
        <w:t xml:space="preserve">carefully </w:t>
      </w:r>
      <w:r w:rsidRPr="00F056E7">
        <w:rPr>
          <w:sz w:val="20"/>
        </w:rPr>
        <w:t>checked.</w:t>
      </w:r>
      <w:r>
        <w:rPr>
          <w:sz w:val="20"/>
        </w:rPr>
        <w:t xml:space="preserve"> For more information, refer to the specific Guidance Document</w:t>
      </w:r>
      <w:r>
        <w:rPr>
          <w:rStyle w:val="FootnoteReference"/>
          <w:sz w:val="20"/>
        </w:rPr>
        <w:footnoteReference w:id="1"/>
      </w:r>
    </w:p>
    <w:p w:rsidR="0084429C" w:rsidRPr="00F056E7" w:rsidRDefault="0084429C" w:rsidP="0084429C">
      <w:pPr>
        <w:spacing w:after="0"/>
        <w:ind w:left="720"/>
        <w:rPr>
          <w:sz w:val="20"/>
        </w:rPr>
      </w:pPr>
    </w:p>
    <w:p w:rsidR="0084429C" w:rsidRPr="00F056E7" w:rsidRDefault="0084429C" w:rsidP="0084429C">
      <w:pPr>
        <w:numPr>
          <w:ilvl w:val="0"/>
          <w:numId w:val="1"/>
        </w:numPr>
        <w:spacing w:after="0"/>
        <w:rPr>
          <w:sz w:val="20"/>
        </w:rPr>
      </w:pPr>
      <w:r w:rsidRPr="00F056E7">
        <w:rPr>
          <w:sz w:val="20"/>
        </w:rPr>
        <w:t xml:space="preserve">Any alternative studies / cases submitted or referenced by the applicant must </w:t>
      </w:r>
      <w:r w:rsidRPr="00F056E7">
        <w:rPr>
          <w:i/>
          <w:snapToGrid w:val="0"/>
          <w:sz w:val="20"/>
        </w:rPr>
        <w:t>match</w:t>
      </w:r>
      <w:r w:rsidRPr="00F056E7">
        <w:rPr>
          <w:snapToGrid w:val="0"/>
          <w:sz w:val="20"/>
        </w:rPr>
        <w:t xml:space="preserve"> those data requirements. Checks should establish that they satisfactorily address the regulatory requirement:</w:t>
      </w:r>
    </w:p>
    <w:p w:rsidR="0084429C" w:rsidRPr="00F056E7" w:rsidRDefault="0084429C" w:rsidP="0084429C">
      <w:pPr>
        <w:numPr>
          <w:ilvl w:val="1"/>
          <w:numId w:val="1"/>
        </w:numPr>
        <w:spacing w:after="0"/>
        <w:rPr>
          <w:sz w:val="20"/>
        </w:rPr>
      </w:pPr>
      <w:r w:rsidRPr="00F056E7">
        <w:rPr>
          <w:sz w:val="20"/>
        </w:rPr>
        <w:t>Does the protocol to the study follow the GLP guidelines?</w:t>
      </w:r>
    </w:p>
    <w:p w:rsidR="0084429C" w:rsidRPr="00F266E0" w:rsidRDefault="0084429C" w:rsidP="0084429C">
      <w:pPr>
        <w:numPr>
          <w:ilvl w:val="1"/>
          <w:numId w:val="1"/>
        </w:numPr>
        <w:spacing w:after="0"/>
        <w:rPr>
          <w:sz w:val="20"/>
        </w:rPr>
      </w:pPr>
      <w:r w:rsidRPr="00F266E0">
        <w:rPr>
          <w:snapToGrid w:val="0"/>
          <w:sz w:val="20"/>
        </w:rPr>
        <w:t>Does the study follow the appropriate protocol/modelling?</w:t>
      </w:r>
    </w:p>
    <w:p w:rsidR="0084429C" w:rsidRPr="00F266E0" w:rsidRDefault="0084429C" w:rsidP="0084429C">
      <w:pPr>
        <w:numPr>
          <w:ilvl w:val="1"/>
          <w:numId w:val="1"/>
        </w:numPr>
        <w:spacing w:after="0"/>
        <w:rPr>
          <w:sz w:val="20"/>
        </w:rPr>
      </w:pPr>
      <w:proofErr w:type="gramStart"/>
      <w:r w:rsidRPr="00F266E0">
        <w:rPr>
          <w:snapToGrid w:val="0"/>
          <w:sz w:val="20"/>
        </w:rPr>
        <w:t>Do(</w:t>
      </w:r>
      <w:proofErr w:type="spellStart"/>
      <w:proofErr w:type="gramEnd"/>
      <w:r w:rsidRPr="00F266E0">
        <w:rPr>
          <w:snapToGrid w:val="0"/>
          <w:sz w:val="20"/>
        </w:rPr>
        <w:t>es</w:t>
      </w:r>
      <w:proofErr w:type="spellEnd"/>
      <w:r w:rsidRPr="00F266E0">
        <w:rPr>
          <w:snapToGrid w:val="0"/>
          <w:sz w:val="20"/>
        </w:rPr>
        <w:t xml:space="preserve">) the </w:t>
      </w:r>
      <w:r>
        <w:rPr>
          <w:snapToGrid w:val="0"/>
          <w:sz w:val="20"/>
        </w:rPr>
        <w:t xml:space="preserve">proposed </w:t>
      </w:r>
      <w:r w:rsidRPr="00F266E0">
        <w:rPr>
          <w:snapToGrid w:val="0"/>
          <w:sz w:val="20"/>
        </w:rPr>
        <w:t xml:space="preserve">end-point(s) </w:t>
      </w:r>
      <w:r>
        <w:rPr>
          <w:snapToGrid w:val="0"/>
          <w:sz w:val="20"/>
        </w:rPr>
        <w:t>in</w:t>
      </w:r>
      <w:r w:rsidRPr="00F266E0">
        <w:rPr>
          <w:snapToGrid w:val="0"/>
          <w:sz w:val="20"/>
        </w:rPr>
        <w:t xml:space="preserve"> the study fall </w:t>
      </w:r>
      <w:r>
        <w:rPr>
          <w:snapToGrid w:val="0"/>
          <w:sz w:val="20"/>
        </w:rPr>
        <w:t>with</w:t>
      </w:r>
      <w:r w:rsidRPr="00F266E0">
        <w:rPr>
          <w:snapToGrid w:val="0"/>
          <w:sz w:val="20"/>
        </w:rPr>
        <w:t>in the same range as the EU-agreed end-point(s)</w:t>
      </w:r>
      <w:r>
        <w:rPr>
          <w:rStyle w:val="FootnoteReference"/>
          <w:snapToGrid w:val="0"/>
          <w:sz w:val="20"/>
        </w:rPr>
        <w:footnoteReference w:id="2"/>
      </w:r>
      <w:r w:rsidRPr="00F266E0">
        <w:rPr>
          <w:snapToGrid w:val="0"/>
          <w:sz w:val="20"/>
        </w:rPr>
        <w:t>?</w:t>
      </w:r>
    </w:p>
    <w:p w:rsidR="0084429C" w:rsidRPr="00F056E7" w:rsidRDefault="0084429C" w:rsidP="0084429C">
      <w:pPr>
        <w:spacing w:after="0"/>
        <w:ind w:left="360"/>
        <w:rPr>
          <w:sz w:val="20"/>
        </w:rPr>
      </w:pPr>
    </w:p>
    <w:p w:rsidR="0084429C" w:rsidRDefault="0084429C" w:rsidP="0084429C">
      <w:pPr>
        <w:numPr>
          <w:ilvl w:val="0"/>
          <w:numId w:val="1"/>
        </w:numPr>
        <w:spacing w:after="0"/>
        <w:jc w:val="left"/>
        <w:rPr>
          <w:sz w:val="20"/>
        </w:rPr>
      </w:pPr>
      <w:r>
        <w:rPr>
          <w:sz w:val="20"/>
        </w:rPr>
        <w:t>Columns to be filled out only for data matching performed according to art. 43. Where no cat. 4 data are sought, please delete.</w:t>
      </w:r>
    </w:p>
    <w:p w:rsidR="0084429C" w:rsidRPr="00F056E7" w:rsidRDefault="0084429C" w:rsidP="0084429C">
      <w:pPr>
        <w:spacing w:after="0"/>
        <w:ind w:left="360"/>
        <w:jc w:val="left"/>
        <w:rPr>
          <w:sz w:val="20"/>
        </w:rPr>
      </w:pPr>
    </w:p>
    <w:p w:rsidR="0084429C" w:rsidRDefault="0084429C" w:rsidP="0084429C">
      <w:pPr>
        <w:numPr>
          <w:ilvl w:val="0"/>
          <w:numId w:val="1"/>
        </w:numPr>
        <w:spacing w:after="0"/>
        <w:jc w:val="left"/>
        <w:rPr>
          <w:sz w:val="20"/>
        </w:rPr>
      </w:pPr>
      <w:r w:rsidRPr="00F056E7">
        <w:rPr>
          <w:sz w:val="20"/>
        </w:rPr>
        <w:t xml:space="preserve">Opinion </w:t>
      </w:r>
      <w:r>
        <w:rPr>
          <w:sz w:val="20"/>
        </w:rPr>
        <w:t>of the RMS (see point 4 for criteria)</w:t>
      </w:r>
    </w:p>
    <w:p w:rsidR="0084429C" w:rsidRDefault="0084429C" w:rsidP="0084429C">
      <w:pPr>
        <w:spacing w:after="0"/>
        <w:ind w:left="360"/>
        <w:jc w:val="left"/>
        <w:rPr>
          <w:sz w:val="20"/>
        </w:rPr>
      </w:pPr>
    </w:p>
    <w:p w:rsidR="0084429C" w:rsidRDefault="0084429C" w:rsidP="0084429C">
      <w:pPr>
        <w:numPr>
          <w:ilvl w:val="0"/>
          <w:numId w:val="1"/>
        </w:numPr>
        <w:spacing w:after="0"/>
        <w:jc w:val="left"/>
        <w:rPr>
          <w:sz w:val="20"/>
        </w:rPr>
      </w:pPr>
      <w:r>
        <w:rPr>
          <w:sz w:val="20"/>
        </w:rPr>
        <w:t>In case cat. 4 data matching studies are agreed, the RMS should update their opinion after the submission deadline.</w:t>
      </w:r>
    </w:p>
    <w:p w:rsidR="0084429C" w:rsidRDefault="0084429C" w:rsidP="0084429C">
      <w:pPr>
        <w:pStyle w:val="ZDGName"/>
      </w:pPr>
    </w:p>
    <w:p w:rsidR="0084429C" w:rsidRDefault="0084429C" w:rsidP="0084429C">
      <w:pPr>
        <w:pStyle w:val="ZDGName"/>
      </w:pPr>
    </w:p>
    <w:p w:rsidR="0084429C" w:rsidRPr="002C3F17" w:rsidRDefault="0084429C" w:rsidP="0084429C"/>
    <w:p w:rsidR="00FA042F" w:rsidRDefault="00FA042F">
      <w:bookmarkStart w:id="0" w:name="_GoBack"/>
      <w:bookmarkEnd w:id="0"/>
    </w:p>
    <w:sectPr w:rsidR="00FA042F" w:rsidSect="00252B47">
      <w:headerReference w:type="default" r:id="rId8"/>
      <w:headerReference w:type="first" r:id="rId9"/>
      <w:pgSz w:w="16838" w:h="11906" w:orient="landscape"/>
      <w:pgMar w:top="1587" w:right="1020" w:bottom="1701" w:left="1020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C" w:rsidRDefault="0084429C" w:rsidP="0084429C">
      <w:pPr>
        <w:spacing w:after="0"/>
      </w:pPr>
      <w:r>
        <w:separator/>
      </w:r>
    </w:p>
  </w:endnote>
  <w:endnote w:type="continuationSeparator" w:id="0">
    <w:p w:rsidR="0084429C" w:rsidRDefault="0084429C" w:rsidP="00844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C" w:rsidRDefault="0084429C" w:rsidP="0084429C">
      <w:pPr>
        <w:spacing w:after="0"/>
      </w:pPr>
      <w:r>
        <w:separator/>
      </w:r>
    </w:p>
  </w:footnote>
  <w:footnote w:type="continuationSeparator" w:id="0">
    <w:p w:rsidR="0084429C" w:rsidRDefault="0084429C" w:rsidP="0084429C">
      <w:pPr>
        <w:spacing w:after="0"/>
      </w:pPr>
      <w:r>
        <w:continuationSeparator/>
      </w:r>
    </w:p>
  </w:footnote>
  <w:footnote w:id="1">
    <w:p w:rsidR="0084429C" w:rsidRPr="00252B47" w:rsidRDefault="0084429C" w:rsidP="008442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2B47">
        <w:t>G</w:t>
      </w:r>
      <w:r>
        <w:t>uidance document on preparing lists of test and study reports according to Article 60 of Regulation (EC)</w:t>
      </w:r>
      <w:r w:rsidRPr="00252B47">
        <w:t xml:space="preserve"> No 1107/2009</w:t>
      </w:r>
      <w:r>
        <w:t xml:space="preserve"> (Document SANCO/12580/2012– rev. 3.1 or later)</w:t>
      </w:r>
    </w:p>
  </w:footnote>
  <w:footnote w:id="2">
    <w:p w:rsidR="0084429C" w:rsidRPr="00FC7EB2" w:rsidRDefault="0084429C" w:rsidP="008442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7EB2">
        <w:rPr>
          <w:rStyle w:val="FootnoteReference"/>
        </w:rPr>
        <w:t>Note if another applicant derives a significantly more critical end-point from their study,</w:t>
      </w:r>
      <w:r>
        <w:t xml:space="preserve"> </w:t>
      </w:r>
      <w:r w:rsidRPr="00FC7EB2">
        <w:rPr>
          <w:rStyle w:val="FootnoteReference"/>
        </w:rPr>
        <w:t>then they are under obligation to report this to the COM as adverse data</w:t>
      </w:r>
      <w:proofErr w:type="gramStart"/>
      <w:r>
        <w:t>, according to art.</w:t>
      </w:r>
      <w:proofErr w:type="gramEnd"/>
      <w:r>
        <w:t xml:space="preserve"> 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E7" w:rsidRPr="00804871" w:rsidRDefault="0084429C" w:rsidP="007E76EB">
    <w:pPr>
      <w:keepNext/>
      <w:rPr>
        <w:rStyle w:val="PageNumber"/>
        <w:lang w:val="en-US"/>
      </w:rPr>
    </w:pPr>
    <w:r w:rsidRPr="00774A1A">
      <w:rPr>
        <w:b/>
      </w:rPr>
      <w:t xml:space="preserve">MATCHING </w:t>
    </w:r>
    <w:r>
      <w:rPr>
        <w:b/>
      </w:rPr>
      <w:t>ACTIVE SUBSTANCE</w:t>
    </w:r>
    <w:r w:rsidRPr="00774A1A">
      <w:rPr>
        <w:b/>
      </w:rPr>
      <w:t xml:space="preserve"> DATA </w:t>
    </w:r>
    <w:r>
      <w:rPr>
        <w:b/>
      </w:rPr>
      <w:t xml:space="preserve">NECESSARY </w:t>
    </w:r>
    <w:r w:rsidRPr="00774A1A">
      <w:rPr>
        <w:b/>
      </w:rPr>
      <w:t xml:space="preserve">FOR </w:t>
    </w:r>
    <w:r>
      <w:rPr>
        <w:b/>
      </w:rPr>
      <w:t xml:space="preserve">THE </w:t>
    </w:r>
    <w:r w:rsidRPr="007E76EB">
      <w:rPr>
        <w:b/>
        <w:color w:val="FF0000"/>
      </w:rPr>
      <w:t>RENEWAL OF THE</w:t>
    </w:r>
    <w:r w:rsidRPr="007E76EB">
      <w:rPr>
        <w:b/>
        <w:color w:val="FF0000"/>
        <w:vertAlign w:val="superscript"/>
      </w:rPr>
      <w:t>1</w:t>
    </w:r>
    <w:r w:rsidRPr="007E76EB">
      <w:rPr>
        <w:b/>
        <w:color w:val="FF0000"/>
      </w:rPr>
      <w:t xml:space="preserve"> </w:t>
    </w:r>
    <w:r>
      <w:rPr>
        <w:b/>
      </w:rPr>
      <w:t xml:space="preserve">APPROVAL OF </w:t>
    </w:r>
    <w:r w:rsidRPr="00774A1A">
      <w:rPr>
        <w:b/>
        <w:color w:val="FF0000"/>
      </w:rPr>
      <w:t>[ACTIVE SUBSTANCE]</w:t>
    </w:r>
    <w:r>
      <w:rPr>
        <w:b/>
        <w:spacing w:val="-3"/>
        <w:lang w:val="en-US"/>
      </w:rPr>
      <w:t xml:space="preserve"> </w:t>
    </w:r>
    <w:r>
      <w:rPr>
        <w:b/>
        <w:spacing w:val="-3"/>
        <w:lang w:val="en-US"/>
      </w:rPr>
      <w:t>(confidential)</w:t>
    </w:r>
  </w:p>
  <w:tbl>
    <w:tblPr>
      <w:tblW w:w="14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3650"/>
      <w:gridCol w:w="3650"/>
      <w:gridCol w:w="3651"/>
    </w:tblGrid>
    <w:tr w:rsidR="00F056E7" w:rsidRPr="00804871" w:rsidTr="00366361">
      <w:trPr>
        <w:jc w:val="center"/>
      </w:trPr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Rapporteur Member State</w:t>
          </w:r>
        </w:p>
      </w:tc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Month and year</w:t>
          </w:r>
        </w:p>
      </w:tc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Active Substance</w:t>
          </w:r>
          <w:r w:rsidRPr="007E76EB">
            <w:rPr>
              <w:b/>
              <w:spacing w:val="-3"/>
              <w:vertAlign w:val="superscript"/>
              <w:lang w:val="en-US"/>
            </w:rPr>
            <w:t>2</w:t>
          </w:r>
          <w:r w:rsidRPr="00804871">
            <w:rPr>
              <w:b/>
              <w:spacing w:val="-3"/>
              <w:lang w:val="en-US"/>
            </w:rPr>
            <w:t xml:space="preserve"> (Name)</w:t>
          </w:r>
        </w:p>
      </w:tc>
      <w:tc>
        <w:tcPr>
          <w:tcW w:w="3651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>
            <w:rPr>
              <w:b/>
              <w:spacing w:val="-3"/>
              <w:lang w:val="en-US"/>
            </w:rPr>
            <w:t>Notifier</w:t>
          </w:r>
        </w:p>
      </w:tc>
    </w:tr>
    <w:tr w:rsidR="00F056E7" w:rsidRPr="00804871" w:rsidTr="00366361">
      <w:trPr>
        <w:jc w:val="center"/>
      </w:trPr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spacing w:val="-3"/>
              <w:lang w:val="en-US"/>
            </w:rPr>
          </w:pPr>
        </w:p>
      </w:tc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  <w:tc>
        <w:tcPr>
          <w:tcW w:w="3650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  <w:tc>
        <w:tcPr>
          <w:tcW w:w="3651" w:type="dxa"/>
        </w:tcPr>
        <w:p w:rsidR="00F056E7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</w:tr>
  </w:tbl>
  <w:p w:rsidR="00F056E7" w:rsidRPr="007A6031" w:rsidRDefault="0084429C" w:rsidP="002231E5">
    <w:pPr>
      <w:spacing w:before="60" w:after="60" w:line="24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31" w:rsidRPr="00804871" w:rsidRDefault="0084429C" w:rsidP="007A6031">
    <w:pPr>
      <w:pStyle w:val="Header"/>
      <w:tabs>
        <w:tab w:val="right" w:pos="9113"/>
      </w:tabs>
      <w:rPr>
        <w:rStyle w:val="PageNumber"/>
        <w:lang w:val="en-US"/>
      </w:rPr>
    </w:pPr>
    <w:r>
      <w:rPr>
        <w:b/>
        <w:spacing w:val="-3"/>
        <w:lang w:val="en-US"/>
      </w:rPr>
      <w:t>Data matching table</w:t>
    </w:r>
  </w:p>
  <w:tbl>
    <w:tblPr>
      <w:tblW w:w="14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3650"/>
      <w:gridCol w:w="3650"/>
      <w:gridCol w:w="3651"/>
    </w:tblGrid>
    <w:tr w:rsidR="007A6031" w:rsidRPr="00804871" w:rsidTr="007A6031">
      <w:trPr>
        <w:jc w:val="center"/>
      </w:trPr>
      <w:tc>
        <w:tcPr>
          <w:tcW w:w="3650" w:type="dxa"/>
        </w:tcPr>
        <w:p w:rsidR="007A6031" w:rsidRPr="00804871" w:rsidRDefault="0084429C" w:rsidP="007A603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Rapporteur Member State</w:t>
          </w:r>
        </w:p>
      </w:tc>
      <w:tc>
        <w:tcPr>
          <w:tcW w:w="3650" w:type="dxa"/>
        </w:tcPr>
        <w:p w:rsidR="007A6031" w:rsidRPr="00804871" w:rsidRDefault="0084429C" w:rsidP="007A603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Month and year</w:t>
          </w:r>
        </w:p>
      </w:tc>
      <w:tc>
        <w:tcPr>
          <w:tcW w:w="3650" w:type="dxa"/>
        </w:tcPr>
        <w:p w:rsidR="007A6031" w:rsidRPr="00804871" w:rsidRDefault="0084429C" w:rsidP="007A603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 w:rsidRPr="00804871">
            <w:rPr>
              <w:b/>
              <w:spacing w:val="-3"/>
              <w:lang w:val="en-US"/>
            </w:rPr>
            <w:t>Active Substance (Name)</w:t>
          </w:r>
        </w:p>
      </w:tc>
      <w:tc>
        <w:tcPr>
          <w:tcW w:w="3651" w:type="dxa"/>
        </w:tcPr>
        <w:p w:rsidR="007A6031" w:rsidRPr="00804871" w:rsidRDefault="0084429C" w:rsidP="007A6031">
          <w:pPr>
            <w:pStyle w:val="Header"/>
            <w:tabs>
              <w:tab w:val="left" w:pos="3261"/>
              <w:tab w:val="left" w:pos="6237"/>
            </w:tabs>
            <w:jc w:val="center"/>
            <w:rPr>
              <w:b/>
              <w:spacing w:val="-3"/>
              <w:lang w:val="en-US"/>
            </w:rPr>
          </w:pPr>
          <w:r>
            <w:rPr>
              <w:b/>
              <w:spacing w:val="-3"/>
              <w:lang w:val="en-US"/>
            </w:rPr>
            <w:t>Notifier</w:t>
          </w:r>
        </w:p>
      </w:tc>
    </w:tr>
    <w:tr w:rsidR="007A6031" w:rsidRPr="00804871" w:rsidTr="007A6031">
      <w:trPr>
        <w:jc w:val="center"/>
      </w:trPr>
      <w:tc>
        <w:tcPr>
          <w:tcW w:w="3650" w:type="dxa"/>
        </w:tcPr>
        <w:p w:rsidR="007A6031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spacing w:val="-3"/>
              <w:lang w:val="en-US"/>
            </w:rPr>
          </w:pPr>
        </w:p>
      </w:tc>
      <w:tc>
        <w:tcPr>
          <w:tcW w:w="3650" w:type="dxa"/>
        </w:tcPr>
        <w:p w:rsidR="007A6031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  <w:tc>
        <w:tcPr>
          <w:tcW w:w="3650" w:type="dxa"/>
        </w:tcPr>
        <w:p w:rsidR="007A6031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  <w:tc>
        <w:tcPr>
          <w:tcW w:w="3651" w:type="dxa"/>
        </w:tcPr>
        <w:p w:rsidR="007A6031" w:rsidRPr="00804871" w:rsidRDefault="0084429C" w:rsidP="00366361">
          <w:pPr>
            <w:pStyle w:val="Header"/>
            <w:tabs>
              <w:tab w:val="left" w:pos="3261"/>
              <w:tab w:val="left" w:pos="6237"/>
            </w:tabs>
            <w:spacing w:before="60" w:after="60" w:line="240" w:lineRule="atLeast"/>
            <w:rPr>
              <w:b/>
              <w:spacing w:val="-3"/>
              <w:lang w:val="en-US"/>
            </w:rPr>
          </w:pPr>
        </w:p>
      </w:tc>
    </w:tr>
  </w:tbl>
  <w:p w:rsidR="007A6031" w:rsidRPr="007A6031" w:rsidRDefault="0084429C" w:rsidP="002231E5">
    <w:pPr>
      <w:spacing w:before="60" w:after="60"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8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6F4FC0"/>
    <w:multiLevelType w:val="hybridMultilevel"/>
    <w:tmpl w:val="B86470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5A6B4A"/>
    <w:multiLevelType w:val="hybridMultilevel"/>
    <w:tmpl w:val="570CC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429C"/>
    <w:rsid w:val="000D0BAB"/>
    <w:rsid w:val="0084429C"/>
    <w:rsid w:val="00AA7772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9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4429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29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header protocols"/>
    <w:basedOn w:val="Normal"/>
    <w:link w:val="HeaderChar"/>
    <w:uiPriority w:val="99"/>
    <w:rsid w:val="0084429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protocols Char"/>
    <w:basedOn w:val="DefaultParagraphFont"/>
    <w:link w:val="Header"/>
    <w:uiPriority w:val="99"/>
    <w:rsid w:val="0084429C"/>
    <w:rPr>
      <w:rFonts w:ascii="Times New Roman" w:eastAsia="Times New Roman" w:hAnsi="Times New Roman" w:cs="Times New Roman"/>
      <w:sz w:val="24"/>
      <w:szCs w:val="20"/>
    </w:rPr>
  </w:style>
  <w:style w:type="paragraph" w:customStyle="1" w:styleId="ZDGName">
    <w:name w:val="Z_DGName"/>
    <w:basedOn w:val="Normal"/>
    <w:uiPriority w:val="99"/>
    <w:rsid w:val="0084429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Reference">
    <w:name w:val="Reference"/>
    <w:basedOn w:val="Normal"/>
    <w:rsid w:val="0084429C"/>
    <w:pPr>
      <w:spacing w:after="0" w:line="260" w:lineRule="exact"/>
    </w:pPr>
    <w:rPr>
      <w:sz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8442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429C"/>
    <w:pPr>
      <w:ind w:left="720"/>
      <w:contextualSpacing/>
    </w:pPr>
  </w:style>
  <w:style w:type="character" w:styleId="PageNumber">
    <w:name w:val="page number"/>
    <w:basedOn w:val="DefaultParagraphFont"/>
    <w:rsid w:val="0084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9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4429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29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header protocols"/>
    <w:basedOn w:val="Normal"/>
    <w:link w:val="HeaderChar"/>
    <w:uiPriority w:val="99"/>
    <w:rsid w:val="0084429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protocols Char"/>
    <w:basedOn w:val="DefaultParagraphFont"/>
    <w:link w:val="Header"/>
    <w:uiPriority w:val="99"/>
    <w:rsid w:val="0084429C"/>
    <w:rPr>
      <w:rFonts w:ascii="Times New Roman" w:eastAsia="Times New Roman" w:hAnsi="Times New Roman" w:cs="Times New Roman"/>
      <w:sz w:val="24"/>
      <w:szCs w:val="20"/>
    </w:rPr>
  </w:style>
  <w:style w:type="paragraph" w:customStyle="1" w:styleId="ZDGName">
    <w:name w:val="Z_DGName"/>
    <w:basedOn w:val="Normal"/>
    <w:uiPriority w:val="99"/>
    <w:rsid w:val="0084429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Reference">
    <w:name w:val="Reference"/>
    <w:basedOn w:val="Normal"/>
    <w:rsid w:val="0084429C"/>
    <w:pPr>
      <w:spacing w:after="0" w:line="260" w:lineRule="exact"/>
    </w:pPr>
    <w:rPr>
      <w:sz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8442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429C"/>
    <w:pPr>
      <w:ind w:left="720"/>
      <w:contextualSpacing/>
    </w:pPr>
  </w:style>
  <w:style w:type="character" w:styleId="PageNumber">
    <w:name w:val="page number"/>
    <w:basedOn w:val="DefaultParagraphFont"/>
    <w:rsid w:val="0084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 Jeremy (SANTE)</dc:creator>
  <cp:lastModifiedBy>PINTE Jeremy (SANTE)</cp:lastModifiedBy>
  <cp:revision>1</cp:revision>
  <dcterms:created xsi:type="dcterms:W3CDTF">2016-12-08T14:30:00Z</dcterms:created>
  <dcterms:modified xsi:type="dcterms:W3CDTF">2016-12-08T14:31:00Z</dcterms:modified>
</cp:coreProperties>
</file>